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211" w:rsidRPr="00A84211" w:rsidRDefault="00A84211" w:rsidP="00A84211">
      <w:pPr>
        <w:jc w:val="center"/>
        <w:rPr>
          <w:b/>
          <w:i/>
          <w:sz w:val="28"/>
          <w:szCs w:val="28"/>
        </w:rPr>
      </w:pPr>
      <w:bookmarkStart w:id="0" w:name="_GoBack"/>
      <w:bookmarkEnd w:id="0"/>
      <w:r w:rsidRPr="00A84211">
        <w:rPr>
          <w:b/>
          <w:i/>
          <w:sz w:val="28"/>
          <w:szCs w:val="28"/>
        </w:rPr>
        <w:t>Data Validation Q &amp; A – March 2017</w:t>
      </w:r>
    </w:p>
    <w:p w:rsidR="00B27BF4" w:rsidRDefault="00B27BF4" w:rsidP="00052F3B">
      <w:pPr>
        <w:pStyle w:val="ListParagraph"/>
        <w:numPr>
          <w:ilvl w:val="0"/>
          <w:numId w:val="1"/>
        </w:numPr>
      </w:pPr>
      <w:r>
        <w:t xml:space="preserve">Should DV staff maintain the screen shot mentions earlier in a file as part of the 3 year DV records retention requirement protocol? </w:t>
      </w:r>
    </w:p>
    <w:p w:rsidR="00052F3B" w:rsidRPr="00A84211" w:rsidRDefault="00052F3B" w:rsidP="00A84211">
      <w:pPr>
        <w:ind w:left="1440"/>
        <w:rPr>
          <w:b/>
        </w:rPr>
      </w:pPr>
      <w:r w:rsidRPr="00A84211">
        <w:rPr>
          <w:b/>
        </w:rPr>
        <w:t>Yes, it is recommended that states save DV documentation for a minimum of three years.</w:t>
      </w:r>
    </w:p>
    <w:p w:rsidR="00B27BF4" w:rsidRDefault="00B27BF4" w:rsidP="00760D7E">
      <w:pPr>
        <w:pStyle w:val="ListParagraph"/>
        <w:numPr>
          <w:ilvl w:val="0"/>
          <w:numId w:val="1"/>
        </w:numPr>
      </w:pPr>
      <w:r>
        <w:t>Will the sample be able to transmit without completing the minimum and outlier samples?</w:t>
      </w:r>
    </w:p>
    <w:p w:rsidR="00760D7E" w:rsidRPr="00A84211" w:rsidRDefault="00760D7E" w:rsidP="00A84211">
      <w:pPr>
        <w:ind w:left="1440"/>
        <w:rPr>
          <w:b/>
        </w:rPr>
      </w:pPr>
      <w:r w:rsidRPr="00A84211">
        <w:rPr>
          <w:b/>
        </w:rPr>
        <w:t>Yes, only random samples for benefits are required.  Minimum samples are required for tax populations only.</w:t>
      </w:r>
    </w:p>
    <w:p w:rsidR="00B27BF4" w:rsidRDefault="00760D7E" w:rsidP="00760D7E">
      <w:pPr>
        <w:pStyle w:val="ListParagraph"/>
        <w:numPr>
          <w:ilvl w:val="0"/>
          <w:numId w:val="1"/>
        </w:numPr>
      </w:pPr>
      <w:r>
        <w:t>I</w:t>
      </w:r>
      <w:r w:rsidR="00B27BF4">
        <w:t>f yo</w:t>
      </w:r>
      <w:r>
        <w:t xml:space="preserve">u have a population </w:t>
      </w:r>
      <w:r w:rsidR="000A452A">
        <w:t>that fails</w:t>
      </w:r>
      <w:r>
        <w:t xml:space="preserve"> Report Validation, i</w:t>
      </w:r>
      <w:r w:rsidR="00B27BF4">
        <w:t xml:space="preserve">s it necessary to do DEV? </w:t>
      </w:r>
      <w:r>
        <w:t>And</w:t>
      </w:r>
      <w:r w:rsidR="00B27BF4">
        <w:t xml:space="preserve"> do all the paperwork copies?</w:t>
      </w:r>
    </w:p>
    <w:p w:rsidR="001D0476" w:rsidRPr="00A84211" w:rsidRDefault="001D0476" w:rsidP="00A84211">
      <w:pPr>
        <w:tabs>
          <w:tab w:val="left" w:pos="1440"/>
        </w:tabs>
        <w:ind w:left="1440"/>
        <w:rPr>
          <w:b/>
        </w:rPr>
      </w:pPr>
      <w:r w:rsidRPr="00A84211">
        <w:rPr>
          <w:b/>
        </w:rPr>
        <w:t>Yes, please also complete the samples.  If the samples pass, know the extract file can be trusted and the problem lies in the report programming/front end of the data management system.  As for the paper copies, save the documentation where an element fails to assist report or IT teams on fixing the issues found.</w:t>
      </w:r>
    </w:p>
    <w:p w:rsidR="00B27BF4" w:rsidRDefault="00760D7E" w:rsidP="00760D7E">
      <w:pPr>
        <w:pStyle w:val="ListParagraph"/>
        <w:numPr>
          <w:ilvl w:val="0"/>
          <w:numId w:val="1"/>
        </w:numPr>
      </w:pPr>
      <w:r>
        <w:t>Do you</w:t>
      </w:r>
      <w:r w:rsidR="00B27BF4">
        <w:t xml:space="preserve"> have to complete the rest of the sample if found 5 or more errors</w:t>
      </w:r>
      <w:r>
        <w:t xml:space="preserve"> in the first tier of samples or the first 30 cases</w:t>
      </w:r>
      <w:r w:rsidR="00B27BF4">
        <w:t xml:space="preserve">? </w:t>
      </w:r>
    </w:p>
    <w:p w:rsidR="001D0476" w:rsidRDefault="001D0476" w:rsidP="001D0476">
      <w:pPr>
        <w:pStyle w:val="ListParagraph"/>
      </w:pPr>
    </w:p>
    <w:p w:rsidR="001D0476" w:rsidRPr="00A84211" w:rsidRDefault="001D0476" w:rsidP="00A84211">
      <w:pPr>
        <w:pStyle w:val="ListParagraph"/>
        <w:ind w:left="1440"/>
        <w:rPr>
          <w:b/>
        </w:rPr>
      </w:pPr>
      <w:r w:rsidRPr="00A84211">
        <w:rPr>
          <w:b/>
        </w:rPr>
        <w:t>No, once you find 5 errors, you are done. If you find 7 errors in the first 60 cases of a random sample with 200, you are also done at that point.</w:t>
      </w:r>
    </w:p>
    <w:p w:rsidR="001D0476" w:rsidRDefault="001D0476" w:rsidP="001D0476">
      <w:pPr>
        <w:pStyle w:val="ListParagraph"/>
      </w:pPr>
    </w:p>
    <w:p w:rsidR="00B27BF4" w:rsidRDefault="00B27BF4" w:rsidP="00760D7E">
      <w:pPr>
        <w:pStyle w:val="ListParagraph"/>
        <w:numPr>
          <w:ilvl w:val="0"/>
          <w:numId w:val="1"/>
        </w:numPr>
      </w:pPr>
      <w:r>
        <w:t xml:space="preserve">Are multi-claimants to be included </w:t>
      </w:r>
      <w:r w:rsidR="00EC0CDB">
        <w:t>on the ETA 9052 report</w:t>
      </w:r>
      <w:r>
        <w:t>?</w:t>
      </w:r>
    </w:p>
    <w:p w:rsidR="00EC0CDB" w:rsidRPr="00A84211" w:rsidRDefault="00EC0CDB" w:rsidP="00A84211">
      <w:pPr>
        <w:ind w:left="1440"/>
        <w:rPr>
          <w:b/>
        </w:rPr>
      </w:pPr>
      <w:r w:rsidRPr="00A84211">
        <w:rPr>
          <w:b/>
        </w:rPr>
        <w:t xml:space="preserve">Yes, section C deals with multi-claimants.  Please refer to ETA </w:t>
      </w:r>
      <w:hyperlink r:id="rId7" w:history="1">
        <w:r w:rsidRPr="005467B9">
          <w:rPr>
            <w:rStyle w:val="Hyperlink"/>
            <w:b/>
          </w:rPr>
          <w:t>HB 401</w:t>
        </w:r>
        <w:r w:rsidR="00A84211" w:rsidRPr="005467B9">
          <w:rPr>
            <w:rStyle w:val="Hyperlink"/>
            <w:b/>
          </w:rPr>
          <w:t>,</w:t>
        </w:r>
        <w:r w:rsidRPr="005467B9">
          <w:rPr>
            <w:rStyle w:val="Hyperlink"/>
            <w:b/>
          </w:rPr>
          <w:t xml:space="preserve"> Section V-3-1</w:t>
        </w:r>
      </w:hyperlink>
    </w:p>
    <w:p w:rsidR="00B27BF4" w:rsidRDefault="00B27BF4" w:rsidP="00760D7E">
      <w:pPr>
        <w:pStyle w:val="ListParagraph"/>
        <w:numPr>
          <w:ilvl w:val="0"/>
          <w:numId w:val="1"/>
        </w:numPr>
      </w:pPr>
      <w:r>
        <w:t>Module 4 - any pointers?</w:t>
      </w:r>
    </w:p>
    <w:p w:rsidR="00186CC6" w:rsidRDefault="00186CC6" w:rsidP="00186CC6">
      <w:pPr>
        <w:pStyle w:val="ListParagraph"/>
      </w:pPr>
    </w:p>
    <w:p w:rsidR="00186CC6" w:rsidRPr="005467B9" w:rsidRDefault="005467B9" w:rsidP="005467B9">
      <w:pPr>
        <w:pStyle w:val="ListParagraph"/>
        <w:ind w:left="1440"/>
        <w:rPr>
          <w:b/>
        </w:rPr>
      </w:pPr>
      <w:r>
        <w:rPr>
          <w:b/>
        </w:rPr>
        <w:t xml:space="preserve">Please review the latest guidance for </w:t>
      </w:r>
      <w:hyperlink r:id="rId8" w:history="1">
        <w:r w:rsidRPr="005467B9">
          <w:rPr>
            <w:rStyle w:val="Hyperlink"/>
            <w:b/>
          </w:rPr>
          <w:t>benefits</w:t>
        </w:r>
      </w:hyperlink>
      <w:r>
        <w:rPr>
          <w:b/>
        </w:rPr>
        <w:t xml:space="preserve"> and </w:t>
      </w:r>
      <w:hyperlink r:id="rId9" w:history="1">
        <w:r w:rsidRPr="005467B9">
          <w:rPr>
            <w:rStyle w:val="Hyperlink"/>
            <w:b/>
          </w:rPr>
          <w:t>tax</w:t>
        </w:r>
      </w:hyperlink>
      <w:r>
        <w:rPr>
          <w:b/>
        </w:rPr>
        <w:t>.  States must f</w:t>
      </w:r>
      <w:r w:rsidR="00186CC6" w:rsidRPr="00A84211">
        <w:rPr>
          <w:b/>
        </w:rPr>
        <w:t xml:space="preserve">irst pass the underlying populations (Benefits 5 and 8; Tax 3 and 5). </w:t>
      </w:r>
      <w:r w:rsidR="00186CC6" w:rsidRPr="005467B9">
        <w:rPr>
          <w:b/>
        </w:rPr>
        <w:t>BTQ 3 has recently had an adjustment line added to account for withdrawn appeals from the universe file. Advise using the random number provided by USDOL.  Using another randomizing software tool, such as Oracle, is also acceptable as long as the state maintains proper documentation of their procedure.</w:t>
      </w:r>
    </w:p>
    <w:p w:rsidR="005467B9" w:rsidRDefault="005467B9">
      <w:r>
        <w:br w:type="page"/>
      </w:r>
    </w:p>
    <w:p w:rsidR="00B27BF4" w:rsidRDefault="000A452A" w:rsidP="00760D7E">
      <w:pPr>
        <w:pStyle w:val="ListParagraph"/>
        <w:numPr>
          <w:ilvl w:val="0"/>
          <w:numId w:val="1"/>
        </w:numPr>
      </w:pPr>
      <w:r>
        <w:lastRenderedPageBreak/>
        <w:t xml:space="preserve">Does the </w:t>
      </w:r>
      <w:r w:rsidR="00B27BF4">
        <w:t>national office have any plans to update the federal definitions? Specifically those used in MOD 3. Examples: Intrastate vs Interstate &amp; reference to Agent state activity?</w:t>
      </w:r>
    </w:p>
    <w:p w:rsidR="00D81BFB" w:rsidRDefault="00D81BFB" w:rsidP="00D81BFB">
      <w:pPr>
        <w:pStyle w:val="ListParagraph"/>
      </w:pPr>
    </w:p>
    <w:p w:rsidR="00D81BFB" w:rsidRDefault="00D81BFB" w:rsidP="00A84211">
      <w:pPr>
        <w:pStyle w:val="ListParagraph"/>
        <w:ind w:left="1440"/>
      </w:pPr>
      <w:r w:rsidRPr="00A84211">
        <w:rPr>
          <w:b/>
        </w:rPr>
        <w:t xml:space="preserve">Module 3 uses the definitions from the 401 Reports handbook.  There is supplemental guidance available on the DV webpage that includes examples on Intra/Interstate claims and agent/liable states: </w:t>
      </w:r>
      <w:hyperlink r:id="rId10" w:history="1">
        <w:r w:rsidRPr="00D81BFB">
          <w:rPr>
            <w:rStyle w:val="Hyperlink"/>
          </w:rPr>
          <w:t>https://oui.doleta.gov/dv/index.asp</w:t>
        </w:r>
      </w:hyperlink>
    </w:p>
    <w:p w:rsidR="00D81BFB" w:rsidRDefault="00D81BFB" w:rsidP="00D81BFB">
      <w:pPr>
        <w:pStyle w:val="ListParagraph"/>
      </w:pPr>
    </w:p>
    <w:p w:rsidR="00B27BF4" w:rsidRDefault="00B27BF4" w:rsidP="00760D7E">
      <w:pPr>
        <w:pStyle w:val="ListParagraph"/>
        <w:numPr>
          <w:ilvl w:val="0"/>
          <w:numId w:val="1"/>
        </w:numPr>
      </w:pPr>
      <w:r>
        <w:t>Do you know if the 401 Handbook will ever be updated?</w:t>
      </w:r>
    </w:p>
    <w:p w:rsidR="00D81BFB" w:rsidRDefault="00D81BFB" w:rsidP="00D81BFB">
      <w:pPr>
        <w:pStyle w:val="ListParagraph"/>
      </w:pPr>
    </w:p>
    <w:p w:rsidR="00D81BFB" w:rsidRPr="00A84211" w:rsidRDefault="00D81BFB" w:rsidP="00A84211">
      <w:pPr>
        <w:pStyle w:val="ListParagraph"/>
        <w:ind w:left="1440"/>
        <w:rPr>
          <w:b/>
        </w:rPr>
      </w:pPr>
      <w:r w:rsidRPr="00A84211">
        <w:rPr>
          <w:b/>
        </w:rPr>
        <w:t>This is currently under review by the National Office.  States will receive an update when one is available from their Regional Offices.</w:t>
      </w:r>
    </w:p>
    <w:p w:rsidR="00D81BFB" w:rsidRDefault="00D81BFB" w:rsidP="00D81BFB">
      <w:pPr>
        <w:pStyle w:val="ListParagraph"/>
      </w:pPr>
    </w:p>
    <w:p w:rsidR="00B27BF4" w:rsidRDefault="00B27BF4" w:rsidP="00760D7E">
      <w:pPr>
        <w:pStyle w:val="ListParagraph"/>
        <w:numPr>
          <w:ilvl w:val="0"/>
          <w:numId w:val="1"/>
        </w:numPr>
      </w:pPr>
      <w:r>
        <w:t>In Washington, Tax DV gets audited periodically but will Benefits DV also be audited?</w:t>
      </w:r>
    </w:p>
    <w:p w:rsidR="00D81BFB" w:rsidRDefault="00D81BFB" w:rsidP="00D81BFB">
      <w:pPr>
        <w:pStyle w:val="ListParagraph"/>
      </w:pPr>
    </w:p>
    <w:p w:rsidR="00D81BFB" w:rsidRPr="00A84211" w:rsidRDefault="00D81BFB" w:rsidP="00A84211">
      <w:pPr>
        <w:pStyle w:val="ListParagraph"/>
        <w:ind w:left="1440"/>
        <w:rPr>
          <w:b/>
        </w:rPr>
      </w:pPr>
      <w:r w:rsidRPr="00A84211">
        <w:rPr>
          <w:b/>
        </w:rPr>
        <w:t xml:space="preserve">Yes, Regional Offices will review the passing populations for Benefits and Tax every three years as part of a Monitoring Review.  Please see </w:t>
      </w:r>
      <w:hyperlink r:id="rId11" w:history="1">
        <w:r w:rsidRPr="005467B9">
          <w:rPr>
            <w:rStyle w:val="Hyperlink"/>
            <w:b/>
          </w:rPr>
          <w:t>Handbook 412</w:t>
        </w:r>
      </w:hyperlink>
      <w:r w:rsidRPr="00A84211">
        <w:rPr>
          <w:b/>
        </w:rPr>
        <w:t xml:space="preserve"> for more information.</w:t>
      </w:r>
    </w:p>
    <w:sectPr w:rsidR="00D81BFB" w:rsidRPr="00A842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29AD"/>
    <w:multiLevelType w:val="hybridMultilevel"/>
    <w:tmpl w:val="A906D4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dit="readOnly"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BF4"/>
    <w:rsid w:val="00052F3B"/>
    <w:rsid w:val="000A452A"/>
    <w:rsid w:val="00186CC6"/>
    <w:rsid w:val="001D0476"/>
    <w:rsid w:val="005467B9"/>
    <w:rsid w:val="005D72B1"/>
    <w:rsid w:val="00760D7E"/>
    <w:rsid w:val="008E027F"/>
    <w:rsid w:val="00A84211"/>
    <w:rsid w:val="00B27BF4"/>
    <w:rsid w:val="00C01D7E"/>
    <w:rsid w:val="00D81BFB"/>
    <w:rsid w:val="00DD26DA"/>
    <w:rsid w:val="00EC0CDB"/>
    <w:rsid w:val="00F45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F3B"/>
    <w:pPr>
      <w:ind w:left="720"/>
      <w:contextualSpacing/>
    </w:pPr>
  </w:style>
  <w:style w:type="character" w:styleId="Hyperlink">
    <w:name w:val="Hyperlink"/>
    <w:basedOn w:val="DefaultParagraphFont"/>
    <w:uiPriority w:val="99"/>
    <w:unhideWhenUsed/>
    <w:rsid w:val="00D81BF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F3B"/>
    <w:pPr>
      <w:ind w:left="720"/>
      <w:contextualSpacing/>
    </w:pPr>
  </w:style>
  <w:style w:type="character" w:styleId="Hyperlink">
    <w:name w:val="Hyperlink"/>
    <w:basedOn w:val="DefaultParagraphFont"/>
    <w:uiPriority w:val="99"/>
    <w:unhideWhenUsed/>
    <w:rsid w:val="00D81B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ui.doleta.gov/dv/pdf/benefits_module4_revised.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dr.doleta.gov/directives/attach/ETAH/ETHand401_4th_s05.pdf"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ui.doleta.gov/dv/pdf/UP191642.pdf" TargetMode="External"/><Relationship Id="rId5" Type="http://schemas.openxmlformats.org/officeDocument/2006/relationships/settings" Target="settings.xml"/><Relationship Id="rId10" Type="http://schemas.openxmlformats.org/officeDocument/2006/relationships/hyperlink" Target="https://oui.doleta.gov/dv/index.asp" TargetMode="External"/><Relationship Id="rId4" Type="http://schemas.microsoft.com/office/2007/relationships/stylesWithEffects" Target="stylesWithEffects.xml"/><Relationship Id="rId9" Type="http://schemas.openxmlformats.org/officeDocument/2006/relationships/hyperlink" Target="https://oui.doleta.gov/dv/pdf/tax_module4_revis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65AC8-2644-498C-AEAA-259DB7AB2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2540</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Employment &amp; Training Administration</Company>
  <LinksUpToDate>false</LinksUpToDate>
  <CharactersWithSpaces>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ETA User</cp:lastModifiedBy>
  <cp:revision>2</cp:revision>
  <dcterms:created xsi:type="dcterms:W3CDTF">2017-04-13T13:54:00Z</dcterms:created>
  <dcterms:modified xsi:type="dcterms:W3CDTF">2017-04-13T13:54:00Z</dcterms:modified>
</cp:coreProperties>
</file>